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6186B" w14:textId="77777777" w:rsidR="00142DA2" w:rsidRPr="00142DA2" w:rsidRDefault="00142DA2" w:rsidP="00142DA2">
      <w:pPr>
        <w:pStyle w:val="Titre"/>
        <w:rPr>
          <w:rFonts w:asciiTheme="minorHAnsi" w:eastAsia="Times New Roman" w:hAnsiTheme="minorHAnsi" w:cs="Times New Roman"/>
          <w:b/>
          <w:color w:val="auto"/>
          <w:spacing w:val="0"/>
          <w:kern w:val="0"/>
          <w:sz w:val="28"/>
          <w:szCs w:val="28"/>
        </w:rPr>
      </w:pPr>
      <w:r w:rsidRPr="00142DA2">
        <w:rPr>
          <w:rFonts w:asciiTheme="minorHAnsi" w:eastAsia="Times New Roman" w:hAnsiTheme="minorHAnsi" w:cs="Times New Roman"/>
          <w:b/>
          <w:color w:val="auto"/>
          <w:spacing w:val="0"/>
          <w:kern w:val="0"/>
          <w:sz w:val="28"/>
          <w:szCs w:val="28"/>
        </w:rPr>
        <w:t>Publications liant la production de GABA et une panification au levain</w:t>
      </w:r>
    </w:p>
    <w:p w14:paraId="569EDC02" w14:textId="77777777" w:rsidR="00142DA2" w:rsidRDefault="00142DA2" w:rsidP="00350AF4">
      <w:pPr>
        <w:rPr>
          <w:rFonts w:eastAsia="Times New Roman" w:cs="Times New Roman"/>
          <w:b/>
        </w:rPr>
      </w:pPr>
    </w:p>
    <w:p w14:paraId="276B115E" w14:textId="77777777" w:rsidR="00142DA2" w:rsidRDefault="00142DA2" w:rsidP="00350AF4">
      <w:pPr>
        <w:rPr>
          <w:rFonts w:eastAsia="Times New Roman" w:cs="Times New Roman"/>
          <w:b/>
        </w:rPr>
      </w:pPr>
    </w:p>
    <w:p w14:paraId="3BF380B4" w14:textId="11ED3E7D" w:rsidR="00644355" w:rsidRDefault="00122CA0" w:rsidP="00350AF4">
      <w:pPr>
        <w:rPr>
          <w:rFonts w:eastAsia="Times New Roman" w:cs="Times New Roman"/>
        </w:rPr>
      </w:pPr>
      <w:r w:rsidRPr="00644355">
        <w:rPr>
          <w:rFonts w:eastAsia="Times New Roman" w:cs="Times New Roman"/>
          <w:b/>
        </w:rPr>
        <w:t>Synthèse des peptides inhibiteurs de l'enzyme de conversion de l'angiotensine I (ACE) et de l'acide Υ-aminobutyrique (GABA)</w:t>
      </w:r>
      <w:r>
        <w:rPr>
          <w:rFonts w:eastAsia="Times New Roman" w:cs="Times New Roman"/>
        </w:rPr>
        <w:t xml:space="preserve"> pendant la fermentation </w:t>
      </w:r>
      <w:r w:rsidR="00A226CC">
        <w:rPr>
          <w:rFonts w:eastAsia="Times New Roman" w:cs="Times New Roman"/>
        </w:rPr>
        <w:t>sur levain</w:t>
      </w:r>
      <w:r>
        <w:rPr>
          <w:rFonts w:eastAsia="Times New Roman" w:cs="Times New Roman"/>
        </w:rPr>
        <w:t xml:space="preserve"> par des bactéries lactiques sélectionnées</w:t>
      </w:r>
      <w:r>
        <w:rPr>
          <w:rFonts w:eastAsia="Times New Roman" w:cs="Times New Roman"/>
        </w:rPr>
        <w:br/>
        <w:t>Auteurs: Carlo G. Rizzello, Marco Gobbetti, A. Cassone, R. Di Cagno</w:t>
      </w:r>
      <w:r>
        <w:rPr>
          <w:rFonts w:eastAsia="Times New Roman" w:cs="Times New Roman"/>
        </w:rPr>
        <w:br/>
        <w:t>Établissement: Universita degli Studi di Bari Aldo Moro, Bari, Italie</w:t>
      </w:r>
      <w:r>
        <w:rPr>
          <w:rFonts w:eastAsia="Times New Roman" w:cs="Times New Roman"/>
        </w:rPr>
        <w:br/>
        <w:t xml:space="preserve">Date de publication: </w:t>
      </w:r>
      <w:r w:rsidRPr="00A226CC">
        <w:rPr>
          <w:rFonts w:eastAsia="Times New Roman" w:cs="Times New Roman"/>
          <w:highlight w:val="yellow"/>
        </w:rPr>
        <w:t>2008</w:t>
      </w:r>
      <w:r>
        <w:rPr>
          <w:rFonts w:eastAsia="Times New Roman" w:cs="Times New Roman"/>
        </w:rPr>
        <w:br/>
        <w:t>Source: Journal of Agricultural and Food Chemistry</w:t>
      </w:r>
      <w:r>
        <w:rPr>
          <w:rFonts w:eastAsia="Times New Roman" w:cs="Times New Roman"/>
        </w:rPr>
        <w:br/>
      </w:r>
      <w:r>
        <w:rPr>
          <w:rFonts w:eastAsia="Times New Roman" w:cs="Times New Roman"/>
        </w:rPr>
        <w:br/>
      </w:r>
      <w:r w:rsidRPr="00644355">
        <w:rPr>
          <w:rFonts w:eastAsia="Times New Roman" w:cs="Times New Roman"/>
          <w:u w:val="single"/>
        </w:rPr>
        <w:t>Résumé:</w:t>
      </w:r>
      <w:r>
        <w:rPr>
          <w:rFonts w:eastAsia="Times New Roman" w:cs="Times New Roman"/>
        </w:rPr>
        <w:t xml:space="preserve"> </w:t>
      </w:r>
    </w:p>
    <w:p w14:paraId="7A8AD594" w14:textId="079D5BA0" w:rsidR="00781449" w:rsidRDefault="00122CA0" w:rsidP="00350AF4">
      <w:pPr>
        <w:rPr>
          <w:rFonts w:eastAsia="Times New Roman" w:cs="Times New Roman"/>
        </w:rPr>
      </w:pPr>
      <w:r>
        <w:rPr>
          <w:rFonts w:eastAsia="Times New Roman" w:cs="Times New Roman"/>
        </w:rPr>
        <w:t>Cet article a pour objectif d'étudier la synthèse des peptides inhibiteurs de l'enzyme de conversion de l'angiotensine I (ACE) et de l'acide gamma-aminobutyrique (GABA) au cours de la fermentation Sourdough du blé blanc, du blé entier et des farines de seigle. On a utilisé des bactéries lactiques de type Sourdough, sélectionnées précédemment pour des activités de protéinase et de peptidase vis-à-vis des protéines de blé ou pour la capacité de synthèse du GABA. L'activité inhibitrice de l'ACE la plus élevée a été observée en fermentant la farine dans des conditions semi-liquides (rendement de pâte 330) et, en particulier, en utilisant de la farine de blé entier. Quatorze peptides, qui n'ont pas été signalés précédemment comme étant inhibiteurs de l'ECA, ont été identifiés à partir de l'extrait soluble dans l'eau de la farine de blé entier (IC50 0,19-0,54 mg / mL). La majeure partie des peptides identifiés contenait l'épitope VAP antihypertenseur bien connu. La synthèse de GABA a augmenté lorsque le rendement de la pâte a été réduit à 160. La synthèse la plus élevée de GABA (258,71 mg / kg) a été trouvée dans la farine de blé entier.</w:t>
      </w:r>
    </w:p>
    <w:p w14:paraId="0991A70A" w14:textId="77777777" w:rsidR="00122CA0" w:rsidRDefault="00122CA0" w:rsidP="00350AF4">
      <w:pPr>
        <w:rPr>
          <w:rFonts w:eastAsia="Times New Roman" w:cs="Times New Roman"/>
        </w:rPr>
      </w:pPr>
    </w:p>
    <w:p w14:paraId="588B2A4E" w14:textId="77777777" w:rsidR="00644355" w:rsidRDefault="00644355" w:rsidP="00350AF4">
      <w:pPr>
        <w:rPr>
          <w:rFonts w:eastAsia="Times New Roman" w:cs="Times New Roman"/>
        </w:rPr>
      </w:pPr>
    </w:p>
    <w:p w14:paraId="3AD0C19F" w14:textId="77777777" w:rsidR="00644355" w:rsidRDefault="00644355" w:rsidP="00350AF4">
      <w:pPr>
        <w:rPr>
          <w:rFonts w:eastAsia="Times New Roman" w:cs="Times New Roman"/>
        </w:rPr>
      </w:pPr>
    </w:p>
    <w:p w14:paraId="17803832" w14:textId="77777777" w:rsidR="00644355" w:rsidRDefault="00122CA0" w:rsidP="00350AF4">
      <w:pPr>
        <w:rPr>
          <w:rFonts w:eastAsia="Times New Roman" w:cs="Times New Roman"/>
        </w:rPr>
      </w:pPr>
      <w:r w:rsidRPr="00644355">
        <w:rPr>
          <w:rFonts w:eastAsia="Times New Roman" w:cs="Times New Roman"/>
          <w:b/>
        </w:rPr>
        <w:t>Utilisation de la farine de fermentation et de pseudo-céréales et farines de légumineuses pour la fabrication d'un pain fonctionnel enrichi en acide aminobutyrique (GABA)</w:t>
      </w:r>
      <w:r w:rsidRPr="00644355">
        <w:rPr>
          <w:rFonts w:eastAsia="Times New Roman" w:cs="Times New Roman"/>
          <w:b/>
        </w:rPr>
        <w:br/>
      </w:r>
      <w:r>
        <w:rPr>
          <w:rFonts w:eastAsia="Times New Roman" w:cs="Times New Roman"/>
        </w:rPr>
        <w:t>Auteurs: Carlo G. Rizzello, Marco Gobbetti, Rossana Coda</w:t>
      </w:r>
      <w:r>
        <w:rPr>
          <w:rFonts w:eastAsia="Times New Roman" w:cs="Times New Roman"/>
        </w:rPr>
        <w:br/>
        <w:t>Établissement: Universita degli Studi di Bari Aldo Moro, Bari, Italie</w:t>
      </w:r>
      <w:r>
        <w:rPr>
          <w:rFonts w:eastAsia="Times New Roman" w:cs="Times New Roman"/>
        </w:rPr>
        <w:br/>
        <w:t xml:space="preserve">Date de publication: </w:t>
      </w:r>
      <w:r w:rsidRPr="00A226CC">
        <w:rPr>
          <w:rFonts w:eastAsia="Times New Roman" w:cs="Times New Roman"/>
          <w:highlight w:val="yellow"/>
        </w:rPr>
        <w:t>2010</w:t>
      </w:r>
      <w:r>
        <w:rPr>
          <w:rFonts w:eastAsia="Times New Roman" w:cs="Times New Roman"/>
        </w:rPr>
        <w:br/>
        <w:t>Source: International Journal of Food Microbiology</w:t>
      </w:r>
      <w:r>
        <w:rPr>
          <w:rFonts w:eastAsia="Times New Roman" w:cs="Times New Roman"/>
        </w:rPr>
        <w:br/>
      </w:r>
      <w:r>
        <w:rPr>
          <w:rFonts w:eastAsia="Times New Roman" w:cs="Times New Roman"/>
        </w:rPr>
        <w:br/>
      </w:r>
      <w:r w:rsidRPr="00644355">
        <w:rPr>
          <w:rFonts w:eastAsia="Times New Roman" w:cs="Times New Roman"/>
          <w:u w:val="single"/>
        </w:rPr>
        <w:t>Résumé:</w:t>
      </w:r>
      <w:r>
        <w:rPr>
          <w:rFonts w:eastAsia="Times New Roman" w:cs="Times New Roman"/>
        </w:rPr>
        <w:t xml:space="preserve"> </w:t>
      </w:r>
    </w:p>
    <w:p w14:paraId="68E529CC" w14:textId="77777777" w:rsidR="004153DA" w:rsidRDefault="00122CA0" w:rsidP="00350AF4">
      <w:pPr>
        <w:rPr>
          <w:rFonts w:eastAsia="Times New Roman" w:cs="Times New Roman"/>
        </w:rPr>
      </w:pPr>
      <w:r>
        <w:rPr>
          <w:rFonts w:eastAsia="Times New Roman" w:cs="Times New Roman"/>
        </w:rPr>
        <w:t xml:space="preserve">Lactobacillus plantarum C48 et Lactococcus lactis subsp. Lactis PU1, préalablement sélectionnés pour la biosynthèse de l'acide gamma-aminobutyrique (GABA), ont été utilisés pour la fermentation de farine de céréales, de pseudo-céréales et de légumineuses. Le pois chiches, l'amarante, le quinoa et le sarrasin étaient les farines les plus appropriées pour être enrichies en GABA. Les paramètres de fermentation </w:t>
      </w:r>
      <w:r w:rsidR="00A226CC">
        <w:rPr>
          <w:rFonts w:eastAsia="Times New Roman" w:cs="Times New Roman"/>
        </w:rPr>
        <w:t>sur levain</w:t>
      </w:r>
      <w:r>
        <w:rPr>
          <w:rFonts w:eastAsia="Times New Roman" w:cs="Times New Roman"/>
        </w:rPr>
        <w:t xml:space="preserve"> ont été optimisés. L'addition de phosphate de pyridoxal 0,1 mM, le rendement en pâte de 160, l'inoculum de 5? On a trouvé que 107 UFC / g de bactéries de départ et la fermentation pendant 24 h à 30 ° C étaient les conditions optimales. </w:t>
      </w:r>
    </w:p>
    <w:p w14:paraId="0F06D95C" w14:textId="3A815585" w:rsidR="00806CFF" w:rsidRDefault="00122CA0" w:rsidP="00350AF4">
      <w:pPr>
        <w:rPr>
          <w:rFonts w:eastAsia="Times New Roman" w:cs="Times New Roman"/>
        </w:rPr>
      </w:pPr>
      <w:r>
        <w:rPr>
          <w:rFonts w:eastAsia="Times New Roman" w:cs="Times New Roman"/>
        </w:rPr>
        <w:t>Un mélange de farine de sarrasin, d'amarante, de pois chiche et de quinoa (ratio 1: 1: 5.3: 1) a été sélectionné et fermenté avec de la levure de boulanger (pain de farine non conventionne</w:t>
      </w:r>
      <w:r w:rsidR="004153DA">
        <w:rPr>
          <w:rFonts w:eastAsia="Times New Roman" w:cs="Times New Roman"/>
        </w:rPr>
        <w:t>lle ;</w:t>
      </w:r>
      <w:r>
        <w:rPr>
          <w:rFonts w:eastAsia="Times New Roman" w:cs="Times New Roman"/>
        </w:rPr>
        <w:t xml:space="preserve"> </w:t>
      </w:r>
      <w:r w:rsidR="00806CFF" w:rsidRPr="00806CFF">
        <w:rPr>
          <w:rFonts w:eastAsia="Times New Roman" w:cs="Times New Roman"/>
          <w:i/>
        </w:rPr>
        <w:t xml:space="preserve">non-conventional flour bread </w:t>
      </w:r>
      <w:r w:rsidRPr="00806CFF">
        <w:rPr>
          <w:rFonts w:eastAsia="Times New Roman" w:cs="Times New Roman"/>
          <w:i/>
        </w:rPr>
        <w:t>NCB</w:t>
      </w:r>
      <w:r>
        <w:rPr>
          <w:rFonts w:eastAsia="Times New Roman" w:cs="Times New Roman"/>
        </w:rPr>
        <w:t xml:space="preserve">) ou avec Lb. Plantarum C48 Sourdough (farine non conventionnelle </w:t>
      </w:r>
      <w:r w:rsidR="004153DA">
        <w:rPr>
          <w:rFonts w:eastAsia="Times New Roman" w:cs="Times New Roman"/>
        </w:rPr>
        <w:t xml:space="preserve"> pain sur levain </w:t>
      </w:r>
      <w:r w:rsidR="00806CFF" w:rsidRPr="00806CFF">
        <w:rPr>
          <w:rFonts w:eastAsia="Times New Roman" w:cs="Times New Roman"/>
          <w:i/>
        </w:rPr>
        <w:t>non-conventional flour Sourdough bread</w:t>
      </w:r>
      <w:r w:rsidR="004153DA">
        <w:rPr>
          <w:rFonts w:eastAsia="Times New Roman" w:cs="Times New Roman"/>
          <w:i/>
        </w:rPr>
        <w:t xml:space="preserve"> NCSB</w:t>
      </w:r>
      <w:r w:rsidR="00806CFF" w:rsidRPr="00806CFF">
        <w:rPr>
          <w:rFonts w:eastAsia="Times New Roman" w:cs="Times New Roman"/>
          <w:i/>
        </w:rPr>
        <w:t>,</w:t>
      </w:r>
      <w:r w:rsidRPr="00806CFF">
        <w:rPr>
          <w:rFonts w:eastAsia="Times New Roman" w:cs="Times New Roman"/>
          <w:i/>
        </w:rPr>
        <w:t>).</w:t>
      </w:r>
      <w:r>
        <w:rPr>
          <w:rFonts w:eastAsia="Times New Roman" w:cs="Times New Roman"/>
        </w:rPr>
        <w:t xml:space="preserve"> </w:t>
      </w:r>
    </w:p>
    <w:p w14:paraId="33C1EC7F" w14:textId="55C302CC" w:rsidR="00122CA0" w:rsidRDefault="00122CA0" w:rsidP="00350AF4">
      <w:pPr>
        <w:rPr>
          <w:rFonts w:eastAsia="Times New Roman" w:cs="Times New Roman"/>
        </w:rPr>
      </w:pPr>
      <w:r>
        <w:rPr>
          <w:rFonts w:eastAsia="Times New Roman" w:cs="Times New Roman"/>
        </w:rPr>
        <w:t xml:space="preserve">La NCSB présentait la plus forte concentration d'acides aminés libres et de GABA (environ 4467 et 504 mg / kg, respectivement). La concentration des composés phénoliques et l'activité antioxydante du pain NCSB était la plus élevée, ainsi que la vitesse d'hydrolyse de l'amidon in vitro était la plus faible. L'analyse des textures a montré que la fermentation </w:t>
      </w:r>
      <w:r w:rsidR="00A226CC">
        <w:rPr>
          <w:rFonts w:eastAsia="Times New Roman" w:cs="Times New Roman"/>
        </w:rPr>
        <w:t>sur levain</w:t>
      </w:r>
      <w:r>
        <w:rPr>
          <w:rFonts w:eastAsia="Times New Roman" w:cs="Times New Roman"/>
        </w:rPr>
        <w:t xml:space="preserve"> améliore plusieurs caractéristiques de NCSB par rapport à NCB, approchant ainsi les caractéristiques de WFB</w:t>
      </w:r>
      <w:r w:rsidR="004153DA">
        <w:rPr>
          <w:rFonts w:eastAsia="Times New Roman" w:cs="Times New Roman"/>
        </w:rPr>
        <w:t xml:space="preserve"> (</w:t>
      </w:r>
      <w:r w:rsidR="004153DA" w:rsidRPr="004153DA">
        <w:rPr>
          <w:rFonts w:eastAsia="Times New Roman" w:cs="Times New Roman"/>
          <w:i/>
        </w:rPr>
        <w:t>wheat flour bread</w:t>
      </w:r>
      <w:r w:rsidR="004153DA" w:rsidRPr="004153DA">
        <w:rPr>
          <w:rFonts w:eastAsia="Times New Roman" w:cs="Times New Roman"/>
          <w:i/>
        </w:rPr>
        <w:t xml:space="preserve"> WFB</w:t>
      </w:r>
      <w:r w:rsidR="004153DA">
        <w:rPr>
          <w:rFonts w:eastAsia="Times New Roman" w:cs="Times New Roman"/>
          <w:i/>
        </w:rPr>
        <w:t>)</w:t>
      </w:r>
      <w:r>
        <w:rPr>
          <w:rFonts w:eastAsia="Times New Roman" w:cs="Times New Roman"/>
        </w:rPr>
        <w:t xml:space="preserve">. L'analyse sensorielle a montré que la fermentation </w:t>
      </w:r>
      <w:r w:rsidR="00A226CC">
        <w:rPr>
          <w:rFonts w:eastAsia="Times New Roman" w:cs="Times New Roman"/>
        </w:rPr>
        <w:t>sur levain</w:t>
      </w:r>
      <w:r>
        <w:rPr>
          <w:rFonts w:eastAsia="Times New Roman" w:cs="Times New Roman"/>
        </w:rPr>
        <w:t xml:space="preserve"> a permis </w:t>
      </w:r>
      <w:r>
        <w:rPr>
          <w:rFonts w:eastAsia="Times New Roman" w:cs="Times New Roman"/>
        </w:rPr>
        <w:lastRenderedPageBreak/>
        <w:t>d'obtenir une bonne palatabilité et une appréciation globale du goût. ? 2009 Elsevier B.V. Tous droits réservés.</w:t>
      </w:r>
    </w:p>
    <w:p w14:paraId="7B94C009" w14:textId="77777777" w:rsidR="00122CA0" w:rsidRDefault="00122CA0" w:rsidP="00350AF4">
      <w:pPr>
        <w:rPr>
          <w:rFonts w:eastAsia="Times New Roman" w:cs="Times New Roman"/>
        </w:rPr>
      </w:pPr>
    </w:p>
    <w:p w14:paraId="10AD3F99" w14:textId="77777777" w:rsidR="00644355" w:rsidRDefault="00122CA0" w:rsidP="00350AF4">
      <w:pPr>
        <w:rPr>
          <w:rFonts w:eastAsia="Times New Roman" w:cs="Times New Roman"/>
        </w:rPr>
      </w:pPr>
      <w:r w:rsidRPr="00644355">
        <w:rPr>
          <w:rFonts w:eastAsia="Times New Roman" w:cs="Times New Roman"/>
          <w:b/>
        </w:rPr>
        <w:t xml:space="preserve">Utilisation de Lactococcus lactis pour enrichir le pain </w:t>
      </w:r>
      <w:r w:rsidR="00644355" w:rsidRPr="00644355">
        <w:rPr>
          <w:rFonts w:eastAsia="Times New Roman" w:cs="Times New Roman"/>
          <w:b/>
        </w:rPr>
        <w:t>sur levain</w:t>
      </w:r>
      <w:r w:rsidRPr="00644355">
        <w:rPr>
          <w:rFonts w:eastAsia="Times New Roman" w:cs="Times New Roman"/>
          <w:b/>
        </w:rPr>
        <w:t xml:space="preserve"> en acide γ-aminobutyrique.</w:t>
      </w:r>
      <w:r w:rsidRPr="00644355">
        <w:rPr>
          <w:rFonts w:eastAsia="Times New Roman" w:cs="Times New Roman"/>
          <w:b/>
        </w:rPr>
        <w:br/>
      </w:r>
      <w:r>
        <w:rPr>
          <w:rFonts w:eastAsia="Times New Roman" w:cs="Times New Roman"/>
        </w:rPr>
        <w:t>Auteurs: Seema Bhanwar, Abhijit Ganguli, Meenakshi Bamnia, Moushumi Ghosh</w:t>
      </w:r>
      <w:r>
        <w:rPr>
          <w:rFonts w:eastAsia="Times New Roman" w:cs="Times New Roman"/>
        </w:rPr>
        <w:br/>
        <w:t>Institution: Département de Biotechnologie et des Sciences de l'Environnement, Université de Thapar, Patiala, Inde</w:t>
      </w:r>
      <w:r>
        <w:rPr>
          <w:rFonts w:eastAsia="Times New Roman" w:cs="Times New Roman"/>
        </w:rPr>
        <w:br/>
        <w:t xml:space="preserve">Date de publication: </w:t>
      </w:r>
      <w:r w:rsidRPr="00A226CC">
        <w:rPr>
          <w:rFonts w:eastAsia="Times New Roman" w:cs="Times New Roman"/>
          <w:highlight w:val="yellow"/>
        </w:rPr>
        <w:t>2013</w:t>
      </w:r>
      <w:r>
        <w:rPr>
          <w:rFonts w:eastAsia="Times New Roman" w:cs="Times New Roman"/>
        </w:rPr>
        <w:br/>
        <w:t>Source: Revue internationale des sciences de l'alimentation et de la nutrition</w:t>
      </w:r>
      <w:r>
        <w:rPr>
          <w:rFonts w:eastAsia="Times New Roman" w:cs="Times New Roman"/>
        </w:rPr>
        <w:br/>
      </w:r>
      <w:r>
        <w:rPr>
          <w:rFonts w:eastAsia="Times New Roman" w:cs="Times New Roman"/>
        </w:rPr>
        <w:br/>
      </w:r>
      <w:r w:rsidRPr="00644355">
        <w:rPr>
          <w:rFonts w:eastAsia="Times New Roman" w:cs="Times New Roman"/>
          <w:u w:val="single"/>
        </w:rPr>
        <w:t>Résumé:</w:t>
      </w:r>
      <w:r>
        <w:rPr>
          <w:rFonts w:eastAsia="Times New Roman" w:cs="Times New Roman"/>
        </w:rPr>
        <w:t xml:space="preserve"> </w:t>
      </w:r>
    </w:p>
    <w:p w14:paraId="14981AF9" w14:textId="2C9ABCF7" w:rsidR="00122CA0" w:rsidRDefault="00E7446D" w:rsidP="00350AF4">
      <w:pPr>
        <w:rPr>
          <w:rFonts w:eastAsia="Times New Roman" w:cs="Times New Roman"/>
        </w:rPr>
      </w:pPr>
      <w:r>
        <w:rPr>
          <w:rFonts w:eastAsia="Times New Roman" w:cs="Times New Roman"/>
        </w:rPr>
        <w:t>Le pain de boulangerie frit</w:t>
      </w:r>
      <w:r w:rsidR="00122CA0">
        <w:rPr>
          <w:rFonts w:eastAsia="Times New Roman" w:cs="Times New Roman"/>
        </w:rPr>
        <w:t xml:space="preserve"> (bhatura</w:t>
      </w:r>
      <w:r>
        <w:rPr>
          <w:rFonts w:eastAsia="Times New Roman" w:cs="Times New Roman"/>
        </w:rPr>
        <w:t xml:space="preserve"> pain frit indien</w:t>
      </w:r>
      <w:r w:rsidR="00122CA0">
        <w:rPr>
          <w:rFonts w:eastAsia="Times New Roman" w:cs="Times New Roman"/>
        </w:rPr>
        <w:t>) avec une quantité élevée d'acide γ-aminobutyrique (GABA) a été produit à l'aide de bactéries lactiques (LAB). Le démarreur de LAB a été criblé et isolé à partir d'igname mariné présentant la plus grande teneur en GABA et a été identifié comme Lactococcus lactis subsp. Lactis. La production maximale de GABA dans le milieu de Man Rogosa Sharpe (MRS) complétée par du glutamate monosodique (MSG) était de 110 mg / 100 ml à pH 5 et 1 à 3% de NaCl ne modifiaient pas significativement la production de GABA (p&gt; 0,05). Lorsque MSG a été remplacé par Vigna mungo dans Sourdough, la quantité de GABA pour la bhatura était de 226,22 mg / 100 g, ce qui représente une augmentation d'environ 10 fois. Une évaluation sensorielle a abouti à une acceptabilité globale générale de bhatura de 4,91 ± 0,03 sur une échelle hédoniste à cinq points. Ainsi, les résultats indiquent le potentiel de L. lactis en tant que démarreur de LAB pour la production de bhatura enrichie en GABA. Bien que d'autres effets physiologiques puissent être attendus dans le produit, les études animales et cliniques sont obligatoires avant l'application de cet aliment.</w:t>
      </w:r>
    </w:p>
    <w:p w14:paraId="4D144CFD" w14:textId="77777777" w:rsidR="00122CA0" w:rsidRDefault="00122CA0" w:rsidP="00350AF4">
      <w:pPr>
        <w:rPr>
          <w:rFonts w:eastAsia="Times New Roman" w:cs="Times New Roman"/>
        </w:rPr>
      </w:pPr>
    </w:p>
    <w:p w14:paraId="3FB77616" w14:textId="77777777" w:rsidR="00644355" w:rsidRDefault="00644355" w:rsidP="00350AF4">
      <w:pPr>
        <w:rPr>
          <w:rFonts w:eastAsia="Times New Roman" w:cs="Times New Roman"/>
        </w:rPr>
      </w:pPr>
      <w:bookmarkStart w:id="0" w:name="_GoBack"/>
      <w:bookmarkEnd w:id="0"/>
    </w:p>
    <w:p w14:paraId="6248A885" w14:textId="77777777" w:rsidR="00644355" w:rsidRDefault="00644355" w:rsidP="00350AF4">
      <w:pPr>
        <w:rPr>
          <w:rFonts w:eastAsia="Times New Roman" w:cs="Times New Roman"/>
        </w:rPr>
      </w:pPr>
      <w:r w:rsidRPr="00644355">
        <w:rPr>
          <w:rFonts w:eastAsia="Times New Roman" w:cs="Times New Roman"/>
          <w:b/>
        </w:rPr>
        <w:t>A</w:t>
      </w:r>
      <w:r w:rsidR="00122CA0" w:rsidRPr="00644355">
        <w:rPr>
          <w:rFonts w:eastAsia="Times New Roman" w:cs="Times New Roman"/>
          <w:b/>
        </w:rPr>
        <w:t>pproche multi-stratégiques dans le développement du pain à pâte molle ciblée vers la réduction de la tension artérielle</w:t>
      </w:r>
      <w:r w:rsidR="00122CA0">
        <w:rPr>
          <w:rFonts w:eastAsia="Times New Roman" w:cs="Times New Roman"/>
        </w:rPr>
        <w:br/>
        <w:t>Auteurs: Marina Diana, E. Peñas, C. Martínez-Villaluenga, Juana Frias, Joan Quílez</w:t>
      </w:r>
      <w:r w:rsidR="00122CA0">
        <w:rPr>
          <w:rFonts w:eastAsia="Times New Roman" w:cs="Times New Roman"/>
        </w:rPr>
        <w:br/>
        <w:t>Institution: Faculté de Pharmacie, Université de Barcelone, Espagne</w:t>
      </w:r>
      <w:r w:rsidR="00122CA0">
        <w:rPr>
          <w:rFonts w:eastAsia="Times New Roman" w:cs="Times New Roman"/>
        </w:rPr>
        <w:br/>
        <w:t xml:space="preserve">Date de publication: </w:t>
      </w:r>
      <w:r w:rsidR="00122CA0" w:rsidRPr="00A226CC">
        <w:rPr>
          <w:rFonts w:eastAsia="Times New Roman" w:cs="Times New Roman"/>
          <w:highlight w:val="yellow"/>
        </w:rPr>
        <w:t>2015</w:t>
      </w:r>
      <w:r w:rsidR="00122CA0">
        <w:rPr>
          <w:rFonts w:eastAsia="Times New Roman" w:cs="Times New Roman"/>
        </w:rPr>
        <w:br/>
        <w:t>Source: Aliments végétaux pour la nutrition humaine</w:t>
      </w:r>
      <w:r w:rsidR="00122CA0">
        <w:rPr>
          <w:rFonts w:eastAsia="Times New Roman" w:cs="Times New Roman"/>
        </w:rPr>
        <w:br/>
      </w:r>
      <w:r w:rsidR="00122CA0">
        <w:rPr>
          <w:rFonts w:eastAsia="Times New Roman" w:cs="Times New Roman"/>
        </w:rPr>
        <w:br/>
      </w:r>
      <w:r w:rsidR="00122CA0" w:rsidRPr="00644355">
        <w:rPr>
          <w:rFonts w:eastAsia="Times New Roman" w:cs="Times New Roman"/>
          <w:u w:val="single"/>
        </w:rPr>
        <w:t>Résumé:</w:t>
      </w:r>
      <w:r w:rsidR="00122CA0">
        <w:rPr>
          <w:rFonts w:eastAsia="Times New Roman" w:cs="Times New Roman"/>
        </w:rPr>
        <w:t xml:space="preserve"> </w:t>
      </w:r>
    </w:p>
    <w:p w14:paraId="50B5C3A0" w14:textId="1DBA5B92" w:rsidR="00122CA0" w:rsidRDefault="00122CA0" w:rsidP="00350AF4">
      <w:pPr>
        <w:rPr>
          <w:rFonts w:eastAsia="Times New Roman" w:cs="Times New Roman"/>
        </w:rPr>
      </w:pPr>
      <w:r>
        <w:rPr>
          <w:rFonts w:eastAsia="Times New Roman" w:cs="Times New Roman"/>
        </w:rPr>
        <w:t>La prévalence croissante de l'hypertension pousse l'industrie alimentaire vers le développement de produits alimentaires innovants aux effets antihypertenseurs. L'objectif était d'étudier l'effet de la teneur réduite en sodium et de 21% d'addition de farine de blé entier (produit par Lactobacillus brevis CECT 8183 et protease) sur la composition immédiate, l'acide γ-aminobutyrique (GABA) et la teneur en peptide du pain de blé. Les activités inhibitrices et antioxydantes de l'enzyme de conversion de l'angiotensine I (ACE) ont également été évaluées. Le remplacement du sodium par le sel de potassium n'affecte pas la composition chimique et les activités biologiques du pain. En revanche, les teneurs en GABA et peptides &lt;3 kDa dans le pain de levain (</w:t>
      </w:r>
      <w:r w:rsidR="00E7446D" w:rsidRPr="00E7446D">
        <w:rPr>
          <w:rFonts w:eastAsia="Times New Roman" w:cs="Times New Roman"/>
          <w:i/>
        </w:rPr>
        <w:t>sourdough bread</w:t>
      </w:r>
      <w:r w:rsidR="00E7446D">
        <w:rPr>
          <w:rFonts w:eastAsia="Times New Roman" w:cs="Times New Roman"/>
        </w:rPr>
        <w:t xml:space="preserve"> </w:t>
      </w:r>
      <w:r>
        <w:rPr>
          <w:rFonts w:eastAsia="Times New Roman" w:cs="Times New Roman"/>
        </w:rPr>
        <w:t>SDB) étaient respectivement de 7 et 3 fois supérieures à celles observées dans le témoin. Les activités inhibitrices de l'ACE et antioxydantes de la fraction peptidique &lt;3 kDa de SDB étaient 1,7 et 2,6-3,0 fois plus élevées que le témoin. Par conséquent, la combinaison de la teneur réduite en sodium avec des concentrations enrichies de composés bioactifs dans la fabrication du pain peut fournir des perspectives intéressantes pour le développement de pains innovateurs vers la réduction de la pression artérielle.</w:t>
      </w:r>
    </w:p>
    <w:p w14:paraId="59FF5FCE" w14:textId="77777777" w:rsidR="00122CA0" w:rsidRDefault="00122CA0" w:rsidP="00350AF4">
      <w:pPr>
        <w:rPr>
          <w:rFonts w:eastAsia="Times New Roman" w:cs="Times New Roman"/>
        </w:rPr>
      </w:pPr>
    </w:p>
    <w:p w14:paraId="23FFA148" w14:textId="77777777" w:rsidR="00644355" w:rsidRDefault="00122CA0" w:rsidP="00350AF4">
      <w:pPr>
        <w:rPr>
          <w:rFonts w:eastAsia="Times New Roman" w:cs="Times New Roman"/>
        </w:rPr>
      </w:pPr>
      <w:r w:rsidRPr="00644355">
        <w:rPr>
          <w:rFonts w:eastAsia="Times New Roman" w:cs="Times New Roman"/>
          <w:b/>
        </w:rPr>
        <w:t>Evaluation de la croissance, du métabolisme et de la production de composants potentiellement bioactifs pendant la fermentation de l'orge avec Lactobacillus reuteri</w:t>
      </w:r>
      <w:r w:rsidRPr="00644355">
        <w:rPr>
          <w:rFonts w:eastAsia="Times New Roman" w:cs="Times New Roman"/>
          <w:b/>
        </w:rPr>
        <w:br/>
      </w:r>
      <w:r>
        <w:rPr>
          <w:rFonts w:eastAsia="Times New Roman" w:cs="Times New Roman"/>
        </w:rPr>
        <w:t>Auteurs: Anton Pallin, Stefan Roos, Peter Agback, Hans Jonsson</w:t>
      </w:r>
      <w:r>
        <w:rPr>
          <w:rFonts w:eastAsia="Times New Roman" w:cs="Times New Roman"/>
        </w:rPr>
        <w:br/>
        <w:t>Institution: Université suédoise de sciences agricoles, Uppsala, Suède</w:t>
      </w:r>
      <w:r>
        <w:rPr>
          <w:rFonts w:eastAsia="Times New Roman" w:cs="Times New Roman"/>
        </w:rPr>
        <w:br/>
        <w:t xml:space="preserve">Date de publication: </w:t>
      </w:r>
      <w:r w:rsidRPr="00A226CC">
        <w:rPr>
          <w:rFonts w:eastAsia="Times New Roman" w:cs="Times New Roman"/>
          <w:highlight w:val="yellow"/>
        </w:rPr>
        <w:t>2016</w:t>
      </w:r>
      <w:r>
        <w:rPr>
          <w:rFonts w:eastAsia="Times New Roman" w:cs="Times New Roman"/>
        </w:rPr>
        <w:br/>
        <w:t>Source: Microbiologie alimentaire</w:t>
      </w:r>
      <w:r>
        <w:rPr>
          <w:rFonts w:eastAsia="Times New Roman" w:cs="Times New Roman"/>
        </w:rPr>
        <w:br/>
      </w:r>
      <w:r>
        <w:rPr>
          <w:rFonts w:eastAsia="Times New Roman" w:cs="Times New Roman"/>
        </w:rPr>
        <w:br/>
      </w:r>
      <w:r w:rsidRPr="00644355">
        <w:rPr>
          <w:rFonts w:eastAsia="Times New Roman" w:cs="Times New Roman"/>
          <w:u w:val="single"/>
        </w:rPr>
        <w:t>Résumé:</w:t>
      </w:r>
      <w:r>
        <w:rPr>
          <w:rFonts w:eastAsia="Times New Roman" w:cs="Times New Roman"/>
        </w:rPr>
        <w:t xml:space="preserve"> </w:t>
      </w:r>
    </w:p>
    <w:p w14:paraId="350B4C03" w14:textId="20DB086C" w:rsidR="00122CA0" w:rsidRDefault="00122CA0" w:rsidP="00350AF4">
      <w:pPr>
        <w:rPr>
          <w:rFonts w:eastAsia="Times New Roman" w:cs="Times New Roman"/>
        </w:rPr>
      </w:pPr>
      <w:r>
        <w:rPr>
          <w:rFonts w:eastAsia="Times New Roman" w:cs="Times New Roman"/>
        </w:rPr>
        <w:t>Dix-huit isolats bactériens du mil, du sarrasin et de la farine de seigle ont été identifiés comme Lactobacillus reuteri. Les empreintes génomiques (rep-PCR) ont révélé qu'elles représentaient cinq souches et que les analyses phylogénétiques utilisant l'analyse de séquences multi-locus (MLSA) ont montré que toutes étaient groupées avec des souches d'origine de rongeurs. Deux souches (SU12-3 et SU18-3) de différents clades phylogénétiques ont été utilisées dans les fermentations de six variétés d'orge, non traitées et traitées thermiquement (avec des enzymes indigènes inactivées). Ils ont été comparés avec deux souches probiotiques d'origine humaine (DSM 17938 et ATCC PTA 6475), une souche Sourdough préalablement isolée (LTH 5531) et une souche de Lactobacillus plantarum (36E). Les analyses de la croissance (CFU) et du métabolisme (RMN 1H) ont révélé des différences au niveau des espèces, L. plantarum présentant une plus grande capacité d'assimiler les nutriments sans aide des enzymes céréalières. Des similitudes ont été observées entre les souches de L. reuteri isolées de Sourdough, alors que les plus grandes différences entre les souches de L. reuteri ont été observées entre les souches 6475 et 17938. L'analyse multivariée des profils métaboliques a révélé une classification claire selon le traitement de la farine, Dans une certaine mesure également la souche bactérienne. On a identifié et quantifié des composés bioactifs possibles tels que l'acide γ-aminobutyrique (GABA), le 1,3-propanediol (signe de la production de réutérine) et l'histamine.</w:t>
      </w:r>
    </w:p>
    <w:sectPr w:rsidR="00122CA0" w:rsidSect="00BD6CB6">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F4"/>
    <w:rsid w:val="00101F8F"/>
    <w:rsid w:val="00122CA0"/>
    <w:rsid w:val="00142DA2"/>
    <w:rsid w:val="00350AF4"/>
    <w:rsid w:val="003E12F2"/>
    <w:rsid w:val="004153DA"/>
    <w:rsid w:val="00447C8F"/>
    <w:rsid w:val="00644355"/>
    <w:rsid w:val="006C5B6C"/>
    <w:rsid w:val="00702226"/>
    <w:rsid w:val="00781449"/>
    <w:rsid w:val="00806CFF"/>
    <w:rsid w:val="008F2D5F"/>
    <w:rsid w:val="009F712D"/>
    <w:rsid w:val="00A226CC"/>
    <w:rsid w:val="00BC4B0B"/>
    <w:rsid w:val="00BD6CB6"/>
    <w:rsid w:val="00BF671B"/>
    <w:rsid w:val="00E7446D"/>
    <w:rsid w:val="00F7171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7FF2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0222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02226"/>
    <w:rPr>
      <w:rFonts w:ascii="Lucida Grande" w:hAnsi="Lucida Grande" w:cs="Lucida Grande"/>
      <w:sz w:val="18"/>
      <w:szCs w:val="18"/>
    </w:rPr>
  </w:style>
  <w:style w:type="paragraph" w:styleId="Titre">
    <w:name w:val="Title"/>
    <w:basedOn w:val="Normal"/>
    <w:next w:val="Normal"/>
    <w:link w:val="TitreCar"/>
    <w:uiPriority w:val="10"/>
    <w:qFormat/>
    <w:rsid w:val="00142D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42DA2"/>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0222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02226"/>
    <w:rPr>
      <w:rFonts w:ascii="Lucida Grande" w:hAnsi="Lucida Grande" w:cs="Lucida Grande"/>
      <w:sz w:val="18"/>
      <w:szCs w:val="18"/>
    </w:rPr>
  </w:style>
  <w:style w:type="paragraph" w:styleId="Titre">
    <w:name w:val="Title"/>
    <w:basedOn w:val="Normal"/>
    <w:next w:val="Normal"/>
    <w:link w:val="TitreCar"/>
    <w:uiPriority w:val="10"/>
    <w:qFormat/>
    <w:rsid w:val="00142D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42DA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9969">
      <w:bodyDiv w:val="1"/>
      <w:marLeft w:val="0"/>
      <w:marRight w:val="0"/>
      <w:marTop w:val="0"/>
      <w:marBottom w:val="0"/>
      <w:divBdr>
        <w:top w:val="none" w:sz="0" w:space="0" w:color="auto"/>
        <w:left w:val="none" w:sz="0" w:space="0" w:color="auto"/>
        <w:bottom w:val="none" w:sz="0" w:space="0" w:color="auto"/>
        <w:right w:val="none" w:sz="0" w:space="0" w:color="auto"/>
      </w:divBdr>
      <w:divsChild>
        <w:div w:id="904023046">
          <w:marLeft w:val="0"/>
          <w:marRight w:val="0"/>
          <w:marTop w:val="0"/>
          <w:marBottom w:val="0"/>
          <w:divBdr>
            <w:top w:val="none" w:sz="0" w:space="0" w:color="auto"/>
            <w:left w:val="none" w:sz="0" w:space="0" w:color="auto"/>
            <w:bottom w:val="none" w:sz="0" w:space="0" w:color="auto"/>
            <w:right w:val="none" w:sz="0" w:space="0" w:color="auto"/>
          </w:divBdr>
          <w:divsChild>
            <w:div w:id="1094089788">
              <w:marLeft w:val="0"/>
              <w:marRight w:val="0"/>
              <w:marTop w:val="0"/>
              <w:marBottom w:val="0"/>
              <w:divBdr>
                <w:top w:val="none" w:sz="0" w:space="0" w:color="auto"/>
                <w:left w:val="none" w:sz="0" w:space="0" w:color="auto"/>
                <w:bottom w:val="none" w:sz="0" w:space="0" w:color="auto"/>
                <w:right w:val="none" w:sz="0" w:space="0" w:color="auto"/>
              </w:divBdr>
              <w:divsChild>
                <w:div w:id="1377467576">
                  <w:marLeft w:val="0"/>
                  <w:marRight w:val="0"/>
                  <w:marTop w:val="0"/>
                  <w:marBottom w:val="0"/>
                  <w:divBdr>
                    <w:top w:val="none" w:sz="0" w:space="0" w:color="auto"/>
                    <w:left w:val="none" w:sz="0" w:space="0" w:color="auto"/>
                    <w:bottom w:val="none" w:sz="0" w:space="0" w:color="auto"/>
                    <w:right w:val="none" w:sz="0" w:space="0" w:color="auto"/>
                  </w:divBdr>
                  <w:divsChild>
                    <w:div w:id="2006283031">
                      <w:marLeft w:val="0"/>
                      <w:marRight w:val="0"/>
                      <w:marTop w:val="0"/>
                      <w:marBottom w:val="0"/>
                      <w:divBdr>
                        <w:top w:val="none" w:sz="0" w:space="0" w:color="auto"/>
                        <w:left w:val="none" w:sz="0" w:space="0" w:color="auto"/>
                        <w:bottom w:val="none" w:sz="0" w:space="0" w:color="auto"/>
                        <w:right w:val="none" w:sz="0" w:space="0" w:color="auto"/>
                      </w:divBdr>
                      <w:divsChild>
                        <w:div w:id="86232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997397">
          <w:marLeft w:val="0"/>
          <w:marRight w:val="0"/>
          <w:marTop w:val="0"/>
          <w:marBottom w:val="0"/>
          <w:divBdr>
            <w:top w:val="none" w:sz="0" w:space="0" w:color="auto"/>
            <w:left w:val="none" w:sz="0" w:space="0" w:color="auto"/>
            <w:bottom w:val="none" w:sz="0" w:space="0" w:color="auto"/>
            <w:right w:val="none" w:sz="0" w:space="0" w:color="auto"/>
          </w:divBdr>
        </w:div>
        <w:div w:id="40793443">
          <w:marLeft w:val="0"/>
          <w:marRight w:val="0"/>
          <w:marTop w:val="0"/>
          <w:marBottom w:val="0"/>
          <w:divBdr>
            <w:top w:val="none" w:sz="0" w:space="0" w:color="auto"/>
            <w:left w:val="none" w:sz="0" w:space="0" w:color="auto"/>
            <w:bottom w:val="none" w:sz="0" w:space="0" w:color="auto"/>
            <w:right w:val="none" w:sz="0" w:space="0" w:color="auto"/>
          </w:divBdr>
          <w:divsChild>
            <w:div w:id="619453722">
              <w:marLeft w:val="0"/>
              <w:marRight w:val="0"/>
              <w:marTop w:val="0"/>
              <w:marBottom w:val="0"/>
              <w:divBdr>
                <w:top w:val="none" w:sz="0" w:space="0" w:color="auto"/>
                <w:left w:val="none" w:sz="0" w:space="0" w:color="auto"/>
                <w:bottom w:val="none" w:sz="0" w:space="0" w:color="auto"/>
                <w:right w:val="none" w:sz="0" w:space="0" w:color="auto"/>
              </w:divBdr>
              <w:divsChild>
                <w:div w:id="1632006850">
                  <w:marLeft w:val="0"/>
                  <w:marRight w:val="0"/>
                  <w:marTop w:val="0"/>
                  <w:marBottom w:val="0"/>
                  <w:divBdr>
                    <w:top w:val="none" w:sz="0" w:space="0" w:color="auto"/>
                    <w:left w:val="none" w:sz="0" w:space="0" w:color="auto"/>
                    <w:bottom w:val="none" w:sz="0" w:space="0" w:color="auto"/>
                    <w:right w:val="none" w:sz="0" w:space="0" w:color="auto"/>
                  </w:divBdr>
                  <w:divsChild>
                    <w:div w:id="438835114">
                      <w:marLeft w:val="0"/>
                      <w:marRight w:val="0"/>
                      <w:marTop w:val="0"/>
                      <w:marBottom w:val="0"/>
                      <w:divBdr>
                        <w:top w:val="none" w:sz="0" w:space="0" w:color="auto"/>
                        <w:left w:val="none" w:sz="0" w:space="0" w:color="auto"/>
                        <w:bottom w:val="none" w:sz="0" w:space="0" w:color="auto"/>
                        <w:right w:val="none" w:sz="0" w:space="0" w:color="auto"/>
                      </w:divBdr>
                      <w:divsChild>
                        <w:div w:id="1141769887">
                          <w:marLeft w:val="0"/>
                          <w:marRight w:val="0"/>
                          <w:marTop w:val="0"/>
                          <w:marBottom w:val="0"/>
                          <w:divBdr>
                            <w:top w:val="none" w:sz="0" w:space="0" w:color="auto"/>
                            <w:left w:val="none" w:sz="0" w:space="0" w:color="auto"/>
                            <w:bottom w:val="none" w:sz="0" w:space="0" w:color="auto"/>
                            <w:right w:val="none" w:sz="0" w:space="0" w:color="auto"/>
                          </w:divBdr>
                          <w:divsChild>
                            <w:div w:id="14094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1372</Words>
  <Characters>7550</Characters>
  <Application>Microsoft Macintosh Word</Application>
  <DocSecurity>0</DocSecurity>
  <Lines>62</Lines>
  <Paragraphs>17</Paragraphs>
  <ScaleCrop>false</ScaleCrop>
  <Company>INBP</Company>
  <LinksUpToDate>false</LinksUpToDate>
  <CharactersWithSpaces>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11</cp:revision>
  <dcterms:created xsi:type="dcterms:W3CDTF">2016-11-18T09:13:00Z</dcterms:created>
  <dcterms:modified xsi:type="dcterms:W3CDTF">2016-11-18T15:18:00Z</dcterms:modified>
</cp:coreProperties>
</file>